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82" w:type="dxa"/>
        <w:tblLook w:val="04A0" w:firstRow="1" w:lastRow="0" w:firstColumn="1" w:lastColumn="0" w:noHBand="0" w:noVBand="1"/>
      </w:tblPr>
      <w:tblGrid>
        <w:gridCol w:w="2694"/>
        <w:gridCol w:w="6378"/>
        <w:gridCol w:w="1418"/>
      </w:tblGrid>
      <w:tr w:rsidR="00DB34BB" w:rsidTr="00DB34BB">
        <w:tc>
          <w:tcPr>
            <w:tcW w:w="9072" w:type="dxa"/>
            <w:gridSpan w:val="2"/>
            <w:shd w:val="clear" w:color="auto" w:fill="C00000"/>
            <w:tcMar>
              <w:top w:w="85" w:type="dxa"/>
              <w:left w:w="85" w:type="dxa"/>
              <w:bottom w:w="85" w:type="dxa"/>
              <w:right w:w="85" w:type="dxa"/>
            </w:tcMar>
            <w:vAlign w:val="bottom"/>
          </w:tcPr>
          <w:p w:rsidR="00DB34BB" w:rsidRPr="00DF7261" w:rsidRDefault="00DB34BB" w:rsidP="00DB34BB">
            <w:pPr>
              <w:rPr>
                <w:rFonts w:asciiTheme="minorHAnsi" w:hAnsiTheme="minorHAnsi"/>
                <w:b/>
              </w:rPr>
            </w:pPr>
            <w:bookmarkStart w:id="0" w:name="_GoBack"/>
            <w:bookmarkEnd w:id="0"/>
            <w:r w:rsidRPr="00DF7261">
              <w:rPr>
                <w:rFonts w:asciiTheme="minorHAnsi" w:hAnsiTheme="minorHAnsi"/>
                <w:b/>
              </w:rPr>
              <w:t>Ontario College Diploma</w:t>
            </w:r>
            <w:r>
              <w:rPr>
                <w:rFonts w:asciiTheme="minorHAnsi" w:hAnsiTheme="minorHAnsi"/>
                <w:b/>
              </w:rPr>
              <w:t xml:space="preserve"> - Credentials Framework</w:t>
            </w:r>
          </w:p>
        </w:tc>
        <w:tc>
          <w:tcPr>
            <w:tcW w:w="1418" w:type="dxa"/>
            <w:shd w:val="clear" w:color="auto" w:fill="C00000"/>
            <w:vAlign w:val="bottom"/>
          </w:tcPr>
          <w:p w:rsidR="00DB34BB" w:rsidRPr="00DF7261" w:rsidRDefault="00DB34BB" w:rsidP="00DB34BB">
            <w:pPr>
              <w:jc w:val="center"/>
              <w:rPr>
                <w:rFonts w:asciiTheme="minorHAnsi" w:hAnsiTheme="minorHAnsi"/>
                <w:b/>
              </w:rPr>
            </w:pPr>
            <w:r>
              <w:rPr>
                <w:rFonts w:asciiTheme="minorHAnsi" w:hAnsiTheme="minorHAnsi"/>
                <w:b/>
              </w:rPr>
              <w:t>Meets Criteria</w:t>
            </w:r>
          </w:p>
        </w:tc>
      </w:tr>
      <w:tr w:rsidR="007B6C7B" w:rsidTr="00DB34BB">
        <w:tc>
          <w:tcPr>
            <w:tcW w:w="9072" w:type="dxa"/>
            <w:gridSpan w:val="2"/>
            <w:tcMar>
              <w:top w:w="85" w:type="dxa"/>
              <w:left w:w="85" w:type="dxa"/>
              <w:bottom w:w="85" w:type="dxa"/>
              <w:right w:w="85" w:type="dxa"/>
            </w:tcMar>
          </w:tcPr>
          <w:p w:rsidR="007B6C7B" w:rsidRDefault="007B6C7B">
            <w:r>
              <w:rPr>
                <w:rFonts w:ascii="Arial-BoldItalicMT" w:hAnsi="Arial-BoldItalicMT" w:cs="Arial-BoldItalicMT"/>
                <w:b/>
                <w:bCs/>
                <w:i/>
                <w:iCs/>
                <w:sz w:val="18"/>
                <w:szCs w:val="18"/>
                <w:lang w:val="en-US"/>
              </w:rPr>
              <w:t>1. Scope of Curriculum Outcomes: Breadth and Depth</w:t>
            </w:r>
          </w:p>
        </w:tc>
        <w:tc>
          <w:tcPr>
            <w:tcW w:w="1418" w:type="dxa"/>
            <w:tcMar>
              <w:top w:w="85" w:type="dxa"/>
              <w:left w:w="85" w:type="dxa"/>
              <w:bottom w:w="85" w:type="dxa"/>
              <w:right w:w="85" w:type="dxa"/>
            </w:tcMar>
          </w:tcPr>
          <w:p w:rsidR="007B6C7B" w:rsidRDefault="007B6C7B"/>
        </w:tc>
      </w:tr>
      <w:tr w:rsidR="00DF7261" w:rsidTr="00F21BF8">
        <w:tc>
          <w:tcPr>
            <w:tcW w:w="2694" w:type="dxa"/>
            <w:vMerge w:val="restart"/>
            <w:tcMar>
              <w:top w:w="85" w:type="dxa"/>
              <w:left w:w="85" w:type="dxa"/>
              <w:bottom w:w="85" w:type="dxa"/>
              <w:right w:w="85" w:type="dxa"/>
            </w:tcMar>
          </w:tcPr>
          <w:p w:rsidR="00DF7261" w:rsidRDefault="00DF7261" w:rsidP="00DF7261">
            <w:pPr>
              <w:autoSpaceDE w:val="0"/>
              <w:autoSpaceDN w:val="0"/>
              <w:adjustRightInd w:val="0"/>
            </w:pPr>
            <w:r>
              <w:rPr>
                <w:rFonts w:ascii="Arial-ItalicMT" w:hAnsi="Arial-ItalicMT" w:cs="Arial-ItalicMT"/>
                <w:i/>
                <w:iCs/>
                <w:sz w:val="18"/>
                <w:szCs w:val="18"/>
                <w:lang w:val="en-US"/>
              </w:rPr>
              <w:t>1.1 Complexity of Knowledge and Vocational Outcomes</w:t>
            </w:r>
          </w:p>
        </w:tc>
        <w:tc>
          <w:tcPr>
            <w:tcW w:w="6378" w:type="dxa"/>
            <w:tcMar>
              <w:top w:w="85" w:type="dxa"/>
              <w:left w:w="85" w:type="dxa"/>
              <w:bottom w:w="85" w:type="dxa"/>
              <w:right w:w="85" w:type="dxa"/>
            </w:tcMar>
          </w:tcPr>
          <w:p w:rsidR="00DF7261" w:rsidRPr="00DF7261" w:rsidRDefault="00DF7261" w:rsidP="00DF7261">
            <w:pPr>
              <w:autoSpaceDE w:val="0"/>
              <w:autoSpaceDN w:val="0"/>
              <w:adjustRightInd w:val="0"/>
              <w:rPr>
                <w:rFonts w:ascii="ArialMT" w:hAnsi="ArialMT" w:cs="ArialMT"/>
                <w:color w:val="000000"/>
                <w:sz w:val="18"/>
                <w:szCs w:val="18"/>
                <w:lang w:val="en-US"/>
              </w:rPr>
            </w:pPr>
            <w:r>
              <w:rPr>
                <w:rFonts w:ascii="ArialMT" w:hAnsi="ArialMT" w:cs="ArialMT"/>
                <w:color w:val="000000"/>
                <w:sz w:val="18"/>
                <w:szCs w:val="18"/>
                <w:lang w:val="en-US"/>
              </w:rPr>
              <w:t xml:space="preserve">Meets all specific vocational learning outcomes as defined by provincial </w:t>
            </w:r>
            <w:r w:rsidRPr="007529A8">
              <w:rPr>
                <w:rFonts w:ascii="ArialMT" w:hAnsi="ArialMT" w:cs="ArialMT"/>
                <w:sz w:val="18"/>
                <w:szCs w:val="18"/>
                <w:lang w:val="en-US"/>
              </w:rPr>
              <w:t>program standards, where these exist.</w:t>
            </w:r>
          </w:p>
        </w:tc>
        <w:tc>
          <w:tcPr>
            <w:tcW w:w="1418" w:type="dxa"/>
            <w:tcMar>
              <w:top w:w="85" w:type="dxa"/>
              <w:left w:w="85" w:type="dxa"/>
              <w:bottom w:w="85" w:type="dxa"/>
              <w:right w:w="85" w:type="dxa"/>
            </w:tcMar>
            <w:vAlign w:val="center"/>
          </w:tcPr>
          <w:p w:rsidR="00DB34BB" w:rsidRPr="00296813" w:rsidRDefault="00DB34BB" w:rsidP="00F21BF8">
            <w:pPr>
              <w:jc w:val="center"/>
              <w:rPr>
                <w:rFonts w:ascii="ArialMT" w:hAnsi="ArialMT" w:cs="ArialMT"/>
                <w:color w:val="000000"/>
                <w:sz w:val="18"/>
                <w:szCs w:val="18"/>
                <w:lang w:val="en-US"/>
              </w:rPr>
            </w:pPr>
            <w:r>
              <w:rPr>
                <w:rFonts w:ascii="ArialMT" w:hAnsi="ArialMT" w:cs="ArialMT"/>
                <w:color w:val="000000"/>
                <w:sz w:val="18"/>
                <w:szCs w:val="18"/>
                <w:lang w:val="en-US"/>
              </w:rPr>
              <w:t>Complies with CSCT NOCP</w:t>
            </w:r>
          </w:p>
        </w:tc>
      </w:tr>
      <w:tr w:rsidR="00DF7261" w:rsidTr="00F21BF8">
        <w:tc>
          <w:tcPr>
            <w:tcW w:w="2694" w:type="dxa"/>
            <w:vMerge/>
            <w:tcMar>
              <w:top w:w="85" w:type="dxa"/>
              <w:left w:w="85" w:type="dxa"/>
              <w:bottom w:w="85" w:type="dxa"/>
              <w:right w:w="85" w:type="dxa"/>
            </w:tcMar>
          </w:tcPr>
          <w:p w:rsidR="00DF7261" w:rsidRDefault="00DF7261"/>
        </w:tc>
        <w:tc>
          <w:tcPr>
            <w:tcW w:w="6378" w:type="dxa"/>
            <w:tcMar>
              <w:top w:w="85" w:type="dxa"/>
              <w:left w:w="85" w:type="dxa"/>
              <w:bottom w:w="85" w:type="dxa"/>
              <w:right w:w="85" w:type="dxa"/>
            </w:tcMar>
          </w:tcPr>
          <w:p w:rsidR="00DF7261" w:rsidRDefault="00DF7261" w:rsidP="00DB34BB">
            <w:pPr>
              <w:autoSpaceDE w:val="0"/>
              <w:autoSpaceDN w:val="0"/>
              <w:adjustRightInd w:val="0"/>
            </w:pPr>
            <w:r>
              <w:rPr>
                <w:rFonts w:ascii="ArialMT" w:hAnsi="ArialMT" w:cs="ArialMT"/>
                <w:color w:val="000000"/>
                <w:sz w:val="18"/>
                <w:szCs w:val="18"/>
                <w:lang w:val="en-US"/>
              </w:rPr>
              <w:t xml:space="preserve">Breadth, depth and complexity of knowledge cover the planning and initiation of alternative approaches to skill and knowledge application across a broad range of technical and/or administrative requirements; coordination; and </w:t>
            </w:r>
            <w:r>
              <w:rPr>
                <w:rFonts w:ascii="ArialMT" w:hAnsi="ArialMT" w:cs="ArialMT"/>
                <w:sz w:val="18"/>
                <w:szCs w:val="18"/>
                <w:lang w:val="en-US"/>
              </w:rPr>
              <w:t>evaluation. Performance of a</w:t>
            </w:r>
            <w:r w:rsidR="00DB34BB">
              <w:rPr>
                <w:rFonts w:ascii="ArialMT" w:hAnsi="ArialMT" w:cs="ArialMT"/>
                <w:sz w:val="18"/>
                <w:szCs w:val="18"/>
                <w:lang w:val="en-US"/>
              </w:rPr>
              <w:t xml:space="preserve"> </w:t>
            </w:r>
            <w:r>
              <w:rPr>
                <w:rFonts w:ascii="ArialMT" w:hAnsi="ArialMT" w:cs="ArialMT"/>
                <w:sz w:val="18"/>
                <w:szCs w:val="18"/>
                <w:lang w:val="en-US"/>
              </w:rPr>
              <w:t>range of skills, with associated knowledge, showing substantial depth in some areas where judgment is required in the planning and selecting of appropriate equipment, services, or techniques for self and others.</w:t>
            </w:r>
          </w:p>
        </w:tc>
        <w:tc>
          <w:tcPr>
            <w:tcW w:w="1418" w:type="dxa"/>
            <w:tcMar>
              <w:top w:w="85" w:type="dxa"/>
              <w:left w:w="85" w:type="dxa"/>
              <w:bottom w:w="85" w:type="dxa"/>
              <w:right w:w="85" w:type="dxa"/>
            </w:tcMar>
            <w:vAlign w:val="center"/>
          </w:tcPr>
          <w:p w:rsidR="00DF7261" w:rsidRPr="00F21BF8" w:rsidRDefault="00F21BF8" w:rsidP="00F21BF8">
            <w:pPr>
              <w:jc w:val="center"/>
              <w:rPr>
                <w:rFonts w:ascii="ArialMT" w:hAnsi="ArialMT" w:cs="ArialMT"/>
                <w:color w:val="C00000"/>
                <w:sz w:val="18"/>
                <w:szCs w:val="18"/>
                <w:lang w:val="en-US"/>
              </w:rPr>
            </w:pPr>
            <w:r w:rsidRPr="00F21BF8">
              <w:rPr>
                <w:rFonts w:ascii="ArialMT" w:hAnsi="ArialMT" w:cs="ArialMT"/>
                <w:color w:val="C00000"/>
                <w:sz w:val="28"/>
                <w:szCs w:val="18"/>
                <w:lang w:val="en-US"/>
              </w:rPr>
              <w:sym w:font="Wingdings" w:char="F0FC"/>
            </w:r>
          </w:p>
        </w:tc>
      </w:tr>
      <w:tr w:rsidR="00DF7261" w:rsidTr="00F21BF8">
        <w:tc>
          <w:tcPr>
            <w:tcW w:w="2694" w:type="dxa"/>
            <w:vMerge/>
            <w:tcMar>
              <w:top w:w="85" w:type="dxa"/>
              <w:left w:w="85" w:type="dxa"/>
              <w:bottom w:w="85" w:type="dxa"/>
              <w:right w:w="85" w:type="dxa"/>
            </w:tcMar>
          </w:tcPr>
          <w:p w:rsidR="00DF7261" w:rsidRDefault="00DF7261"/>
        </w:tc>
        <w:tc>
          <w:tcPr>
            <w:tcW w:w="6378" w:type="dxa"/>
            <w:tcMar>
              <w:top w:w="85" w:type="dxa"/>
              <w:left w:w="85" w:type="dxa"/>
              <w:bottom w:w="85" w:type="dxa"/>
              <w:right w:w="85" w:type="dxa"/>
            </w:tcMar>
          </w:tcPr>
          <w:p w:rsidR="00DF7261" w:rsidRPr="00DF7261" w:rsidRDefault="00DF7261" w:rsidP="00C429AF">
            <w:pPr>
              <w:autoSpaceDE w:val="0"/>
              <w:autoSpaceDN w:val="0"/>
              <w:adjustRightInd w:val="0"/>
              <w:rPr>
                <w:rFonts w:ascii="ArialMT" w:hAnsi="ArialMT" w:cs="ArialMT"/>
                <w:sz w:val="18"/>
                <w:szCs w:val="18"/>
                <w:lang w:val="en-US"/>
              </w:rPr>
            </w:pPr>
            <w:r>
              <w:rPr>
                <w:rFonts w:ascii="ArialMT" w:hAnsi="ArialMT" w:cs="ArialMT"/>
                <w:sz w:val="18"/>
                <w:szCs w:val="18"/>
                <w:lang w:val="en-US"/>
              </w:rPr>
              <w:t>Applications involve participation</w:t>
            </w:r>
            <w:r w:rsidR="00C429AF">
              <w:rPr>
                <w:rFonts w:ascii="ArialMT" w:hAnsi="ArialMT" w:cs="ArialMT"/>
                <w:sz w:val="18"/>
                <w:szCs w:val="18"/>
                <w:lang w:val="en-US"/>
              </w:rPr>
              <w:t xml:space="preserve"> </w:t>
            </w:r>
            <w:r>
              <w:rPr>
                <w:rFonts w:ascii="ArialMT" w:hAnsi="ArialMT" w:cs="ArialMT"/>
                <w:sz w:val="18"/>
                <w:szCs w:val="18"/>
                <w:lang w:val="en-US"/>
              </w:rPr>
              <w:t>in the development of strategic</w:t>
            </w:r>
            <w:r w:rsidR="00F21BF8">
              <w:rPr>
                <w:rFonts w:ascii="ArialMT" w:hAnsi="ArialMT" w:cs="ArialMT"/>
                <w:sz w:val="18"/>
                <w:szCs w:val="18"/>
                <w:lang w:val="en-US"/>
              </w:rPr>
              <w:t xml:space="preserve"> </w:t>
            </w:r>
            <w:r>
              <w:rPr>
                <w:rFonts w:ascii="ArialMT" w:hAnsi="ArialMT" w:cs="ArialMT"/>
                <w:sz w:val="18"/>
                <w:szCs w:val="18"/>
                <w:lang w:val="en-US"/>
              </w:rPr>
              <w:t>initiatives, as well as personal responsibility and autonomy in performing complex technical operations or organizing others. Applications may include participation in teams, including teams concerned with planning and evaluation functions. Group or team coordination may be involved.</w:t>
            </w:r>
          </w:p>
        </w:tc>
        <w:tc>
          <w:tcPr>
            <w:tcW w:w="1418" w:type="dxa"/>
            <w:tcMar>
              <w:top w:w="85" w:type="dxa"/>
              <w:left w:w="85" w:type="dxa"/>
              <w:bottom w:w="85" w:type="dxa"/>
              <w:right w:w="85" w:type="dxa"/>
            </w:tcMar>
            <w:vAlign w:val="center"/>
          </w:tcPr>
          <w:p w:rsidR="00DF7261" w:rsidRPr="00296813" w:rsidRDefault="00C429AF" w:rsidP="00F21BF8">
            <w:pPr>
              <w:jc w:val="center"/>
              <w:rPr>
                <w:rFonts w:ascii="ArialMT" w:hAnsi="ArialMT" w:cs="ArialMT"/>
                <w:color w:val="000000"/>
                <w:sz w:val="18"/>
                <w:szCs w:val="18"/>
                <w:lang w:val="en-US"/>
              </w:rPr>
            </w:pPr>
            <w:r w:rsidRPr="00F21BF8">
              <w:rPr>
                <w:rFonts w:ascii="ArialMT" w:hAnsi="ArialMT" w:cs="ArialMT"/>
                <w:color w:val="C00000"/>
                <w:sz w:val="28"/>
                <w:szCs w:val="18"/>
                <w:lang w:val="en-US"/>
              </w:rPr>
              <w:sym w:font="Wingdings" w:char="F0FC"/>
            </w:r>
          </w:p>
        </w:tc>
      </w:tr>
      <w:tr w:rsidR="00DF7261" w:rsidTr="00F21BF8">
        <w:tc>
          <w:tcPr>
            <w:tcW w:w="2694" w:type="dxa"/>
            <w:tcMar>
              <w:top w:w="85" w:type="dxa"/>
              <w:left w:w="85" w:type="dxa"/>
              <w:bottom w:w="85" w:type="dxa"/>
              <w:right w:w="85" w:type="dxa"/>
            </w:tcMar>
          </w:tcPr>
          <w:p w:rsidR="00DF7261" w:rsidRPr="00296813" w:rsidRDefault="00296813" w:rsidP="00296813">
            <w:pPr>
              <w:autoSpaceDE w:val="0"/>
              <w:autoSpaceDN w:val="0"/>
              <w:adjustRightInd w:val="0"/>
              <w:rPr>
                <w:rFonts w:ascii="ArialMT" w:hAnsi="ArialMT" w:cs="ArialMT"/>
                <w:sz w:val="18"/>
                <w:szCs w:val="18"/>
                <w:lang w:val="en-US"/>
              </w:rPr>
            </w:pPr>
            <w:r>
              <w:rPr>
                <w:rFonts w:ascii="Arial-ItalicMT" w:hAnsi="Arial-ItalicMT" w:cs="Arial-ItalicMT"/>
                <w:i/>
                <w:iCs/>
                <w:sz w:val="18"/>
                <w:szCs w:val="18"/>
                <w:lang w:val="en-US"/>
              </w:rPr>
              <w:t>1.2 Essential Employability Skills</w:t>
            </w:r>
          </w:p>
        </w:tc>
        <w:tc>
          <w:tcPr>
            <w:tcW w:w="6378" w:type="dxa"/>
            <w:tcMar>
              <w:top w:w="85" w:type="dxa"/>
              <w:left w:w="85" w:type="dxa"/>
              <w:bottom w:w="85" w:type="dxa"/>
              <w:right w:w="85" w:type="dxa"/>
            </w:tcMar>
          </w:tcPr>
          <w:p w:rsidR="00DF7261" w:rsidRPr="00296813" w:rsidRDefault="00235A98" w:rsidP="00C429AF">
            <w:pPr>
              <w:autoSpaceDE w:val="0"/>
              <w:autoSpaceDN w:val="0"/>
              <w:adjustRightInd w:val="0"/>
              <w:rPr>
                <w:rFonts w:ascii="ArialMT" w:hAnsi="ArialMT" w:cs="ArialMT"/>
                <w:sz w:val="18"/>
                <w:szCs w:val="18"/>
                <w:lang w:val="en-US"/>
              </w:rPr>
            </w:pPr>
            <w:r>
              <w:rPr>
                <w:rFonts w:ascii="ArialMT" w:hAnsi="ArialMT" w:cs="ArialMT"/>
                <w:sz w:val="18"/>
                <w:szCs w:val="18"/>
                <w:lang w:val="en-US"/>
              </w:rPr>
              <w:t>Graduates have achieved the basic fundamental, personal management, and teamwork skills to get, keep, and progress in a job-of-choice. There is an appropriate depth of achievement,</w:t>
            </w:r>
            <w:r w:rsidR="00C429AF">
              <w:rPr>
                <w:rFonts w:ascii="ArialMT" w:hAnsi="ArialMT" w:cs="ArialMT"/>
                <w:sz w:val="18"/>
                <w:szCs w:val="18"/>
                <w:lang w:val="en-US"/>
              </w:rPr>
              <w:t xml:space="preserve"> </w:t>
            </w:r>
            <w:r>
              <w:rPr>
                <w:rFonts w:ascii="ArialMT" w:hAnsi="ArialMT" w:cs="ArialMT"/>
                <w:sz w:val="18"/>
                <w:szCs w:val="18"/>
                <w:lang w:val="en-US"/>
              </w:rPr>
              <w:t>consistent with the essential employability skills learning outcomes, identified for these levels of credentials.</w:t>
            </w:r>
          </w:p>
        </w:tc>
        <w:tc>
          <w:tcPr>
            <w:tcW w:w="1418" w:type="dxa"/>
            <w:tcMar>
              <w:top w:w="85" w:type="dxa"/>
              <w:left w:w="85" w:type="dxa"/>
              <w:bottom w:w="85" w:type="dxa"/>
              <w:right w:w="85" w:type="dxa"/>
            </w:tcMar>
            <w:vAlign w:val="center"/>
          </w:tcPr>
          <w:p w:rsidR="00DF7261" w:rsidRPr="00296813" w:rsidRDefault="00C429AF" w:rsidP="00F21BF8">
            <w:pPr>
              <w:jc w:val="center"/>
              <w:rPr>
                <w:rFonts w:ascii="ArialMT" w:hAnsi="ArialMT" w:cs="ArialMT"/>
                <w:color w:val="000000"/>
                <w:sz w:val="18"/>
                <w:szCs w:val="18"/>
                <w:lang w:val="en-US"/>
              </w:rPr>
            </w:pPr>
            <w:r>
              <w:rPr>
                <w:rFonts w:ascii="ArialMT" w:hAnsi="ArialMT" w:cs="ArialMT"/>
                <w:color w:val="000000"/>
                <w:sz w:val="18"/>
                <w:szCs w:val="18"/>
                <w:lang w:val="en-US"/>
              </w:rPr>
              <w:t>TBD</w:t>
            </w:r>
          </w:p>
        </w:tc>
      </w:tr>
      <w:tr w:rsidR="00DF7261" w:rsidTr="00F21BF8">
        <w:tc>
          <w:tcPr>
            <w:tcW w:w="2694" w:type="dxa"/>
            <w:tcMar>
              <w:top w:w="85" w:type="dxa"/>
              <w:left w:w="85" w:type="dxa"/>
              <w:bottom w:w="85" w:type="dxa"/>
              <w:right w:w="85" w:type="dxa"/>
            </w:tcMar>
          </w:tcPr>
          <w:p w:rsidR="00DF7261" w:rsidRPr="00296813" w:rsidRDefault="007B6C7B" w:rsidP="007B6C7B">
            <w:pPr>
              <w:autoSpaceDE w:val="0"/>
              <w:autoSpaceDN w:val="0"/>
              <w:adjustRightInd w:val="0"/>
              <w:rPr>
                <w:rFonts w:ascii="ArialMT" w:hAnsi="ArialMT" w:cs="ArialMT"/>
                <w:sz w:val="18"/>
                <w:szCs w:val="18"/>
                <w:lang w:val="en-US"/>
              </w:rPr>
            </w:pPr>
            <w:r>
              <w:rPr>
                <w:rFonts w:ascii="Arial-ItalicMT" w:hAnsi="Arial-ItalicMT" w:cs="Arial-ItalicMT"/>
                <w:i/>
                <w:iCs/>
                <w:sz w:val="18"/>
                <w:szCs w:val="18"/>
                <w:lang w:val="en-US"/>
              </w:rPr>
              <w:t>1.3 General Education</w:t>
            </w:r>
          </w:p>
        </w:tc>
        <w:tc>
          <w:tcPr>
            <w:tcW w:w="6378" w:type="dxa"/>
            <w:tcMar>
              <w:top w:w="85" w:type="dxa"/>
              <w:left w:w="85" w:type="dxa"/>
              <w:bottom w:w="85" w:type="dxa"/>
              <w:right w:w="85" w:type="dxa"/>
            </w:tcMar>
          </w:tcPr>
          <w:p w:rsidR="00DF7261" w:rsidRPr="00296813" w:rsidRDefault="007B6C7B" w:rsidP="007B6C7B">
            <w:pPr>
              <w:autoSpaceDE w:val="0"/>
              <w:autoSpaceDN w:val="0"/>
              <w:adjustRightInd w:val="0"/>
              <w:rPr>
                <w:rFonts w:ascii="ArialMT" w:hAnsi="ArialMT" w:cs="ArialMT"/>
                <w:sz w:val="18"/>
                <w:szCs w:val="18"/>
                <w:lang w:val="en-US"/>
              </w:rPr>
            </w:pPr>
            <w:r>
              <w:rPr>
                <w:rFonts w:ascii="ArialMT" w:hAnsi="ArialMT" w:cs="ArialMT"/>
                <w:sz w:val="18"/>
                <w:szCs w:val="18"/>
                <w:lang w:val="en-US"/>
              </w:rPr>
              <w:t>Consistent with the general education policy for colleges of applied</w:t>
            </w:r>
            <w:r w:rsidR="00C429AF">
              <w:rPr>
                <w:rFonts w:ascii="ArialMT" w:hAnsi="ArialMT" w:cs="ArialMT"/>
                <w:sz w:val="18"/>
                <w:szCs w:val="18"/>
                <w:lang w:val="en-US"/>
              </w:rPr>
              <w:t xml:space="preserve"> </w:t>
            </w:r>
            <w:r>
              <w:rPr>
                <w:rFonts w:ascii="ArialMT" w:hAnsi="ArialMT" w:cs="ArialMT"/>
                <w:sz w:val="18"/>
                <w:szCs w:val="18"/>
                <w:lang w:val="en-US"/>
              </w:rPr>
              <w:t>arts and technology, graduates have been engaged in learning that exposes them to at least one discipline outside their main field of study and increases their awareness of the society and culture in which they live and work. This will typically involve students taking 3 to 5 courses (or the equivalent) designed discretely from vocational learning opportunities. This learning would normally be delivered using a combination of required and elective processes.</w:t>
            </w:r>
          </w:p>
        </w:tc>
        <w:tc>
          <w:tcPr>
            <w:tcW w:w="1418" w:type="dxa"/>
            <w:tcMar>
              <w:top w:w="85" w:type="dxa"/>
              <w:left w:w="85" w:type="dxa"/>
              <w:bottom w:w="85" w:type="dxa"/>
              <w:right w:w="85" w:type="dxa"/>
            </w:tcMar>
            <w:vAlign w:val="center"/>
          </w:tcPr>
          <w:p w:rsidR="00DF7261" w:rsidRPr="00296813" w:rsidRDefault="00C429AF" w:rsidP="00F21BF8">
            <w:pPr>
              <w:jc w:val="center"/>
              <w:rPr>
                <w:rFonts w:ascii="ArialMT" w:hAnsi="ArialMT" w:cs="ArialMT"/>
                <w:color w:val="000000"/>
                <w:sz w:val="18"/>
                <w:szCs w:val="18"/>
                <w:lang w:val="en-US"/>
              </w:rPr>
            </w:pPr>
            <w:r w:rsidRPr="00F21BF8">
              <w:rPr>
                <w:rFonts w:ascii="ArialMT" w:hAnsi="ArialMT" w:cs="ArialMT"/>
                <w:color w:val="C00000"/>
                <w:sz w:val="28"/>
                <w:szCs w:val="18"/>
                <w:lang w:val="en-US"/>
              </w:rPr>
              <w:sym w:font="Wingdings" w:char="F0FC"/>
            </w:r>
          </w:p>
        </w:tc>
      </w:tr>
      <w:tr w:rsidR="00DF7261" w:rsidTr="00F21BF8">
        <w:tc>
          <w:tcPr>
            <w:tcW w:w="2694" w:type="dxa"/>
            <w:tcMar>
              <w:top w:w="85" w:type="dxa"/>
              <w:left w:w="85" w:type="dxa"/>
              <w:bottom w:w="85" w:type="dxa"/>
              <w:right w:w="85" w:type="dxa"/>
            </w:tcMar>
          </w:tcPr>
          <w:p w:rsidR="007B6C7B" w:rsidRDefault="007B6C7B" w:rsidP="007B6C7B">
            <w:pPr>
              <w:autoSpaceDE w:val="0"/>
              <w:autoSpaceDN w:val="0"/>
              <w:adjustRightInd w:val="0"/>
              <w:rPr>
                <w:rFonts w:ascii="Arial-BoldItalicMT" w:hAnsi="Arial-BoldItalicMT" w:cs="Arial-BoldItalicMT"/>
                <w:b/>
                <w:bCs/>
                <w:i/>
                <w:iCs/>
                <w:sz w:val="18"/>
                <w:szCs w:val="18"/>
                <w:lang w:val="en-US"/>
              </w:rPr>
            </w:pPr>
            <w:r>
              <w:rPr>
                <w:rFonts w:ascii="Arial-BoldItalicMT" w:hAnsi="Arial-BoldItalicMT" w:cs="Arial-BoldItalicMT"/>
                <w:b/>
                <w:bCs/>
                <w:i/>
                <w:iCs/>
                <w:sz w:val="18"/>
                <w:szCs w:val="18"/>
                <w:lang w:val="en-US"/>
              </w:rPr>
              <w:t>2. Typical</w:t>
            </w:r>
          </w:p>
          <w:p w:rsidR="007B6C7B" w:rsidRDefault="007B6C7B" w:rsidP="007B6C7B">
            <w:pPr>
              <w:autoSpaceDE w:val="0"/>
              <w:autoSpaceDN w:val="0"/>
              <w:adjustRightInd w:val="0"/>
              <w:rPr>
                <w:rFonts w:ascii="Arial-BoldItalicMT" w:hAnsi="Arial-BoldItalicMT" w:cs="Arial-BoldItalicMT"/>
                <w:b/>
                <w:bCs/>
                <w:i/>
                <w:iCs/>
                <w:sz w:val="18"/>
                <w:szCs w:val="18"/>
                <w:lang w:val="en-US"/>
              </w:rPr>
            </w:pPr>
            <w:r>
              <w:rPr>
                <w:rFonts w:ascii="Arial-BoldItalicMT" w:hAnsi="Arial-BoldItalicMT" w:cs="Arial-BoldItalicMT"/>
                <w:b/>
                <w:bCs/>
                <w:i/>
                <w:iCs/>
                <w:sz w:val="18"/>
                <w:szCs w:val="18"/>
                <w:lang w:val="en-US"/>
              </w:rPr>
              <w:t>Duration for</w:t>
            </w:r>
          </w:p>
          <w:p w:rsidR="00DF7261" w:rsidRPr="00296813" w:rsidRDefault="007B6C7B" w:rsidP="007B6C7B">
            <w:pPr>
              <w:rPr>
                <w:rFonts w:ascii="ArialMT" w:hAnsi="ArialMT" w:cs="ArialMT"/>
                <w:sz w:val="18"/>
                <w:szCs w:val="18"/>
                <w:lang w:val="en-US"/>
              </w:rPr>
            </w:pPr>
            <w:r>
              <w:rPr>
                <w:rFonts w:ascii="Arial-BoldItalicMT" w:hAnsi="Arial-BoldItalicMT" w:cs="Arial-BoldItalicMT"/>
                <w:b/>
                <w:bCs/>
                <w:i/>
                <w:iCs/>
                <w:sz w:val="18"/>
                <w:szCs w:val="18"/>
                <w:lang w:val="en-US"/>
              </w:rPr>
              <w:t>Completion</w:t>
            </w:r>
          </w:p>
        </w:tc>
        <w:tc>
          <w:tcPr>
            <w:tcW w:w="6378" w:type="dxa"/>
            <w:tcMar>
              <w:top w:w="85" w:type="dxa"/>
              <w:left w:w="85" w:type="dxa"/>
              <w:bottom w:w="85" w:type="dxa"/>
              <w:right w:w="85" w:type="dxa"/>
            </w:tcMar>
          </w:tcPr>
          <w:p w:rsidR="007B6C7B" w:rsidRDefault="007B6C7B" w:rsidP="007B6C7B">
            <w:pPr>
              <w:autoSpaceDE w:val="0"/>
              <w:autoSpaceDN w:val="0"/>
              <w:adjustRightInd w:val="0"/>
              <w:rPr>
                <w:rFonts w:ascii="ArialMT" w:hAnsi="ArialMT" w:cs="ArialMT"/>
                <w:sz w:val="18"/>
                <w:szCs w:val="18"/>
                <w:lang w:val="en-US"/>
              </w:rPr>
            </w:pPr>
            <w:r>
              <w:rPr>
                <w:rFonts w:ascii="ArialMT" w:hAnsi="ArialMT" w:cs="ArialMT"/>
                <w:sz w:val="18"/>
                <w:szCs w:val="18"/>
                <w:lang w:val="en-US"/>
              </w:rPr>
              <w:t>Specific design, delivery, and duration of curriculum is locally determined and may vary among programs and disciplines, recognizing that some colleges may use a system other than hours (e.g., credits) to determine program completion.</w:t>
            </w:r>
          </w:p>
          <w:p w:rsidR="007B6C7B" w:rsidRDefault="007B6C7B" w:rsidP="007B6C7B">
            <w:pPr>
              <w:autoSpaceDE w:val="0"/>
              <w:autoSpaceDN w:val="0"/>
              <w:adjustRightInd w:val="0"/>
              <w:rPr>
                <w:rFonts w:ascii="ArialMT" w:hAnsi="ArialMT" w:cs="ArialMT"/>
                <w:sz w:val="18"/>
                <w:szCs w:val="18"/>
                <w:lang w:val="en-US"/>
              </w:rPr>
            </w:pPr>
          </w:p>
          <w:p w:rsidR="007B6C7B" w:rsidRDefault="007B6C7B" w:rsidP="007B6C7B">
            <w:pPr>
              <w:autoSpaceDE w:val="0"/>
              <w:autoSpaceDN w:val="0"/>
              <w:adjustRightInd w:val="0"/>
              <w:rPr>
                <w:rFonts w:ascii="ArialMT" w:hAnsi="ArialMT" w:cs="ArialMT"/>
                <w:sz w:val="18"/>
                <w:szCs w:val="18"/>
                <w:lang w:val="en-US"/>
              </w:rPr>
            </w:pPr>
            <w:r>
              <w:rPr>
                <w:rFonts w:ascii="ArialMT" w:hAnsi="ArialMT" w:cs="ArialMT"/>
                <w:sz w:val="18"/>
                <w:szCs w:val="18"/>
                <w:lang w:val="en-US"/>
              </w:rPr>
              <w:t xml:space="preserve">It is understood that a range of hours may apply to the achievement of program learning outcomes leading to any particular credential. </w:t>
            </w:r>
          </w:p>
          <w:p w:rsidR="007B6C7B" w:rsidRDefault="007B6C7B" w:rsidP="007B6C7B">
            <w:pPr>
              <w:autoSpaceDE w:val="0"/>
              <w:autoSpaceDN w:val="0"/>
              <w:adjustRightInd w:val="0"/>
              <w:rPr>
                <w:rFonts w:ascii="ArialMT" w:hAnsi="ArialMT" w:cs="ArialMT"/>
                <w:sz w:val="18"/>
                <w:szCs w:val="18"/>
                <w:lang w:val="en-US"/>
              </w:rPr>
            </w:pPr>
          </w:p>
          <w:p w:rsidR="00DF7261" w:rsidRDefault="007B6C7B" w:rsidP="007B6C7B">
            <w:pPr>
              <w:autoSpaceDE w:val="0"/>
              <w:autoSpaceDN w:val="0"/>
              <w:adjustRightInd w:val="0"/>
              <w:rPr>
                <w:rFonts w:ascii="ArialMT" w:hAnsi="ArialMT" w:cs="ArialMT"/>
                <w:sz w:val="18"/>
                <w:szCs w:val="18"/>
                <w:lang w:val="en-US"/>
              </w:rPr>
            </w:pPr>
            <w:r>
              <w:rPr>
                <w:rFonts w:ascii="ArialMT" w:hAnsi="ArialMT" w:cs="ArialMT"/>
                <w:sz w:val="18"/>
                <w:szCs w:val="18"/>
                <w:lang w:val="en-US"/>
              </w:rPr>
              <w:t>This framework outlines the typical duration of a program at this level for students entering with the minimum admission requirements.</w:t>
            </w:r>
          </w:p>
          <w:p w:rsidR="007B6C7B" w:rsidRDefault="007B6C7B" w:rsidP="007B6C7B">
            <w:pPr>
              <w:autoSpaceDE w:val="0"/>
              <w:autoSpaceDN w:val="0"/>
              <w:adjustRightInd w:val="0"/>
              <w:rPr>
                <w:rFonts w:ascii="ArialMT" w:hAnsi="ArialMT" w:cs="ArialMT"/>
                <w:sz w:val="18"/>
                <w:szCs w:val="18"/>
                <w:lang w:val="en-US"/>
              </w:rPr>
            </w:pPr>
          </w:p>
          <w:p w:rsidR="007B6C7B" w:rsidRPr="00296813" w:rsidRDefault="007B6C7B" w:rsidP="007B6C7B">
            <w:pPr>
              <w:autoSpaceDE w:val="0"/>
              <w:autoSpaceDN w:val="0"/>
              <w:adjustRightInd w:val="0"/>
              <w:rPr>
                <w:rFonts w:ascii="ArialMT" w:hAnsi="ArialMT" w:cs="ArialMT"/>
                <w:sz w:val="18"/>
                <w:szCs w:val="18"/>
                <w:lang w:val="en-US"/>
              </w:rPr>
            </w:pPr>
            <w:r>
              <w:rPr>
                <w:rFonts w:ascii="ArialMT" w:hAnsi="ArialMT" w:cs="ArialMT"/>
                <w:sz w:val="18"/>
                <w:szCs w:val="18"/>
                <w:lang w:val="en-US"/>
              </w:rPr>
              <w:t>Typically the duration to achieve this credential is 4 academic semesters or approximately 1200 to 1400 equivalent instructional hours.</w:t>
            </w:r>
          </w:p>
        </w:tc>
        <w:tc>
          <w:tcPr>
            <w:tcW w:w="1418" w:type="dxa"/>
            <w:tcMar>
              <w:top w:w="85" w:type="dxa"/>
              <w:left w:w="85" w:type="dxa"/>
              <w:bottom w:w="85" w:type="dxa"/>
              <w:right w:w="85" w:type="dxa"/>
            </w:tcMar>
            <w:vAlign w:val="center"/>
          </w:tcPr>
          <w:p w:rsidR="00DF7261" w:rsidRPr="00296813" w:rsidRDefault="00C429AF" w:rsidP="00F21BF8">
            <w:pPr>
              <w:jc w:val="center"/>
              <w:rPr>
                <w:rFonts w:ascii="ArialMT" w:hAnsi="ArialMT" w:cs="ArialMT"/>
                <w:color w:val="000000"/>
                <w:sz w:val="18"/>
                <w:szCs w:val="18"/>
                <w:lang w:val="en-US"/>
              </w:rPr>
            </w:pPr>
            <w:r w:rsidRPr="00F21BF8">
              <w:rPr>
                <w:rFonts w:ascii="ArialMT" w:hAnsi="ArialMT" w:cs="ArialMT"/>
                <w:color w:val="C00000"/>
                <w:sz w:val="28"/>
                <w:szCs w:val="18"/>
                <w:lang w:val="en-US"/>
              </w:rPr>
              <w:sym w:font="Wingdings" w:char="F0FC"/>
            </w:r>
          </w:p>
        </w:tc>
      </w:tr>
      <w:tr w:rsidR="007B6C7B" w:rsidTr="00F21BF8">
        <w:tc>
          <w:tcPr>
            <w:tcW w:w="2694" w:type="dxa"/>
            <w:tcMar>
              <w:top w:w="85" w:type="dxa"/>
              <w:left w:w="85" w:type="dxa"/>
              <w:bottom w:w="85" w:type="dxa"/>
              <w:right w:w="85" w:type="dxa"/>
            </w:tcMar>
          </w:tcPr>
          <w:p w:rsidR="007B6C7B" w:rsidRPr="00296813" w:rsidRDefault="00A12186" w:rsidP="00A12186">
            <w:pPr>
              <w:autoSpaceDE w:val="0"/>
              <w:autoSpaceDN w:val="0"/>
              <w:adjustRightInd w:val="0"/>
              <w:rPr>
                <w:rFonts w:ascii="ArialMT" w:hAnsi="ArialMT" w:cs="ArialMT"/>
                <w:sz w:val="18"/>
                <w:szCs w:val="18"/>
                <w:lang w:val="en-US"/>
              </w:rPr>
            </w:pPr>
            <w:r>
              <w:rPr>
                <w:rFonts w:ascii="Arial-BoldItalicMT" w:hAnsi="Arial-BoldItalicMT" w:cs="Arial-BoldItalicMT"/>
                <w:b/>
                <w:bCs/>
                <w:i/>
                <w:iCs/>
                <w:sz w:val="18"/>
                <w:szCs w:val="18"/>
                <w:lang w:val="en-US"/>
              </w:rPr>
              <w:t>3. Admission Requirements</w:t>
            </w:r>
          </w:p>
        </w:tc>
        <w:tc>
          <w:tcPr>
            <w:tcW w:w="6378" w:type="dxa"/>
            <w:tcMar>
              <w:top w:w="85" w:type="dxa"/>
              <w:left w:w="85" w:type="dxa"/>
              <w:bottom w:w="85" w:type="dxa"/>
              <w:right w:w="85" w:type="dxa"/>
            </w:tcMar>
          </w:tcPr>
          <w:p w:rsidR="00A00FA5" w:rsidRDefault="00A00FA5" w:rsidP="00A00FA5">
            <w:pPr>
              <w:autoSpaceDE w:val="0"/>
              <w:autoSpaceDN w:val="0"/>
              <w:adjustRightInd w:val="0"/>
              <w:rPr>
                <w:rFonts w:ascii="ArialMT" w:hAnsi="ArialMT" w:cs="ArialMT"/>
                <w:sz w:val="18"/>
                <w:szCs w:val="18"/>
                <w:lang w:val="en-US"/>
              </w:rPr>
            </w:pPr>
            <w:r>
              <w:rPr>
                <w:rFonts w:ascii="ArialMT" w:hAnsi="ArialMT" w:cs="ArialMT"/>
                <w:sz w:val="18"/>
                <w:szCs w:val="18"/>
                <w:lang w:val="en-US"/>
              </w:rPr>
              <w:t>Admission requirements are established in O. Reg. 34/03 and</w:t>
            </w:r>
          </w:p>
          <w:p w:rsidR="007B6C7B" w:rsidRDefault="00A00FA5" w:rsidP="00A00FA5">
            <w:pPr>
              <w:rPr>
                <w:rFonts w:ascii="ArialMT" w:hAnsi="ArialMT" w:cs="ArialMT"/>
                <w:sz w:val="18"/>
                <w:szCs w:val="18"/>
                <w:lang w:val="en-US"/>
              </w:rPr>
            </w:pPr>
            <w:r>
              <w:rPr>
                <w:rFonts w:ascii="ArialMT" w:hAnsi="ArialMT" w:cs="ArialMT"/>
                <w:sz w:val="18"/>
                <w:szCs w:val="18"/>
                <w:lang w:val="en-US"/>
              </w:rPr>
              <w:t>Minister’s Binding Policy Directive on Admissions Criteria.</w:t>
            </w:r>
          </w:p>
          <w:p w:rsidR="00A00FA5" w:rsidRDefault="00A00FA5" w:rsidP="00A00FA5">
            <w:pPr>
              <w:rPr>
                <w:rFonts w:ascii="ArialMT" w:hAnsi="ArialMT" w:cs="ArialMT"/>
                <w:sz w:val="18"/>
                <w:szCs w:val="18"/>
                <w:lang w:val="en-US"/>
              </w:rPr>
            </w:pPr>
          </w:p>
          <w:p w:rsidR="00A00FA5" w:rsidRDefault="00A00FA5" w:rsidP="00A00FA5">
            <w:pPr>
              <w:autoSpaceDE w:val="0"/>
              <w:autoSpaceDN w:val="0"/>
              <w:adjustRightInd w:val="0"/>
              <w:rPr>
                <w:rFonts w:ascii="ArialMT" w:hAnsi="ArialMT" w:cs="ArialMT"/>
                <w:sz w:val="18"/>
                <w:szCs w:val="18"/>
                <w:lang w:val="en-US"/>
              </w:rPr>
            </w:pPr>
            <w:r>
              <w:rPr>
                <w:rFonts w:ascii="ArialMT" w:hAnsi="ArialMT" w:cs="ArialMT"/>
                <w:sz w:val="18"/>
                <w:szCs w:val="18"/>
                <w:lang w:val="en-US"/>
              </w:rPr>
              <w:t>A</w:t>
            </w:r>
            <w:r w:rsidRPr="00A00FA5">
              <w:rPr>
                <w:rFonts w:ascii="ArialMT" w:hAnsi="ArialMT" w:cs="ArialMT"/>
                <w:sz w:val="18"/>
                <w:szCs w:val="18"/>
                <w:lang w:val="en-US"/>
              </w:rPr>
              <w:t>n applicant is</w:t>
            </w:r>
            <w:r>
              <w:rPr>
                <w:rFonts w:ascii="ArialMT" w:hAnsi="ArialMT" w:cs="ArialMT"/>
                <w:sz w:val="18"/>
                <w:szCs w:val="18"/>
                <w:lang w:val="en-US"/>
              </w:rPr>
              <w:t xml:space="preserve"> </w:t>
            </w:r>
            <w:r w:rsidRPr="00A00FA5">
              <w:rPr>
                <w:rFonts w:ascii="ArialMT" w:hAnsi="ArialMT" w:cs="ArialMT"/>
                <w:sz w:val="18"/>
                <w:szCs w:val="18"/>
                <w:lang w:val="en-US"/>
              </w:rPr>
              <w:t xml:space="preserve">to be ”considered for admission to an appropriate </w:t>
            </w:r>
            <w:r>
              <w:rPr>
                <w:rFonts w:ascii="ArialMT" w:hAnsi="ArialMT" w:cs="ArialMT"/>
                <w:sz w:val="18"/>
                <w:szCs w:val="18"/>
                <w:lang w:val="en-US"/>
              </w:rPr>
              <w:t xml:space="preserve"> p</w:t>
            </w:r>
            <w:r w:rsidRPr="00A00FA5">
              <w:rPr>
                <w:rFonts w:ascii="ArialMT" w:hAnsi="ArialMT" w:cs="ArialMT"/>
                <w:sz w:val="18"/>
                <w:szCs w:val="18"/>
                <w:lang w:val="en-US"/>
              </w:rPr>
              <w:t>rogram of instruction if the person,</w:t>
            </w:r>
            <w:r>
              <w:rPr>
                <w:rFonts w:ascii="ArialMT" w:hAnsi="ArialMT" w:cs="ArialMT"/>
                <w:sz w:val="18"/>
                <w:szCs w:val="18"/>
                <w:lang w:val="en-US"/>
              </w:rPr>
              <w:t xml:space="preserve"> </w:t>
            </w:r>
          </w:p>
          <w:p w:rsidR="00A00FA5" w:rsidRDefault="00A00FA5" w:rsidP="00A00FA5">
            <w:pPr>
              <w:pStyle w:val="ListParagraph"/>
              <w:numPr>
                <w:ilvl w:val="0"/>
                <w:numId w:val="1"/>
              </w:numPr>
              <w:autoSpaceDE w:val="0"/>
              <w:autoSpaceDN w:val="0"/>
              <w:adjustRightInd w:val="0"/>
              <w:rPr>
                <w:rFonts w:ascii="ArialMT" w:hAnsi="ArialMT" w:cs="ArialMT"/>
                <w:sz w:val="18"/>
                <w:szCs w:val="18"/>
                <w:lang w:val="en-US"/>
              </w:rPr>
            </w:pPr>
            <w:r w:rsidRPr="00A00FA5">
              <w:rPr>
                <w:rFonts w:ascii="ArialMT" w:hAnsi="ArialMT" w:cs="ArialMT"/>
                <w:sz w:val="18"/>
                <w:szCs w:val="18"/>
                <w:lang w:val="en-US"/>
              </w:rPr>
              <w:t>is the holder of an Ontario Secondary School Diploma or its equivalent;</w:t>
            </w:r>
          </w:p>
          <w:p w:rsidR="00A00FA5" w:rsidRPr="00A00FA5" w:rsidRDefault="00A00FA5" w:rsidP="00A00FA5">
            <w:pPr>
              <w:autoSpaceDE w:val="0"/>
              <w:autoSpaceDN w:val="0"/>
              <w:adjustRightInd w:val="0"/>
              <w:ind w:left="360"/>
              <w:rPr>
                <w:rFonts w:ascii="ArialMT" w:hAnsi="ArialMT" w:cs="ArialMT"/>
                <w:sz w:val="18"/>
                <w:szCs w:val="18"/>
                <w:lang w:val="en-US"/>
              </w:rPr>
            </w:pPr>
          </w:p>
          <w:p w:rsidR="00A00FA5" w:rsidRPr="00A00FA5" w:rsidRDefault="00A00FA5" w:rsidP="00A00FA5">
            <w:pPr>
              <w:pStyle w:val="ListParagraph"/>
              <w:numPr>
                <w:ilvl w:val="0"/>
                <w:numId w:val="1"/>
              </w:numPr>
              <w:autoSpaceDE w:val="0"/>
              <w:autoSpaceDN w:val="0"/>
              <w:adjustRightInd w:val="0"/>
              <w:rPr>
                <w:rFonts w:ascii="ArialMT" w:hAnsi="ArialMT" w:cs="ArialMT"/>
                <w:sz w:val="18"/>
                <w:szCs w:val="18"/>
                <w:lang w:val="en-US"/>
              </w:rPr>
            </w:pPr>
            <w:r w:rsidRPr="00A00FA5">
              <w:rPr>
                <w:rFonts w:ascii="ArialMT" w:hAnsi="ArialMT" w:cs="ArialMT"/>
                <w:sz w:val="18"/>
                <w:szCs w:val="18"/>
                <w:lang w:val="en-US"/>
              </w:rPr>
              <w:t xml:space="preserve">is nineteen years of age or older on or before the commencement of the program in which the applicant intends to </w:t>
            </w:r>
            <w:proofErr w:type="spellStart"/>
            <w:r w:rsidRPr="00A00FA5">
              <w:rPr>
                <w:rFonts w:ascii="ArialMT" w:hAnsi="ArialMT" w:cs="ArialMT"/>
                <w:sz w:val="18"/>
                <w:szCs w:val="18"/>
                <w:lang w:val="en-US"/>
              </w:rPr>
              <w:t>enrol</w:t>
            </w:r>
            <w:proofErr w:type="spellEnd"/>
            <w:r w:rsidRPr="00A00FA5">
              <w:rPr>
                <w:rFonts w:ascii="ArialMT" w:hAnsi="ArialMT" w:cs="ArialMT"/>
                <w:sz w:val="18"/>
                <w:szCs w:val="18"/>
                <w:lang w:val="en-US"/>
              </w:rPr>
              <w:t>; or</w:t>
            </w:r>
          </w:p>
          <w:p w:rsidR="00A00FA5" w:rsidRPr="00A00FA5" w:rsidRDefault="00A00FA5" w:rsidP="00A00FA5">
            <w:pPr>
              <w:autoSpaceDE w:val="0"/>
              <w:autoSpaceDN w:val="0"/>
              <w:adjustRightInd w:val="0"/>
              <w:rPr>
                <w:rFonts w:ascii="ArialMT" w:hAnsi="ArialMT" w:cs="ArialMT"/>
                <w:sz w:val="18"/>
                <w:szCs w:val="18"/>
                <w:lang w:val="en-US"/>
              </w:rPr>
            </w:pPr>
          </w:p>
          <w:p w:rsidR="00A00FA5" w:rsidRPr="00296813" w:rsidRDefault="00A00FA5" w:rsidP="00A00FA5">
            <w:pPr>
              <w:autoSpaceDE w:val="0"/>
              <w:autoSpaceDN w:val="0"/>
              <w:adjustRightInd w:val="0"/>
              <w:ind w:left="360"/>
              <w:rPr>
                <w:rFonts w:ascii="ArialMT" w:hAnsi="ArialMT" w:cs="ArialMT"/>
                <w:sz w:val="18"/>
                <w:szCs w:val="18"/>
                <w:lang w:val="en-US"/>
              </w:rPr>
            </w:pPr>
            <w:proofErr w:type="gramStart"/>
            <w:r w:rsidRPr="00A00FA5">
              <w:rPr>
                <w:rFonts w:ascii="ArialMT" w:hAnsi="ArialMT" w:cs="ArialMT"/>
                <w:sz w:val="18"/>
                <w:szCs w:val="18"/>
                <w:lang w:val="en-US"/>
              </w:rPr>
              <w:t>c</w:t>
            </w:r>
            <w:proofErr w:type="gramEnd"/>
            <w:r w:rsidRPr="00A00FA5">
              <w:rPr>
                <w:rFonts w:ascii="ArialMT" w:hAnsi="ArialMT" w:cs="ArialMT"/>
                <w:sz w:val="18"/>
                <w:szCs w:val="18"/>
                <w:lang w:val="en-US"/>
              </w:rPr>
              <w:t xml:space="preserve">) does not meet the criteria set out in clauses (a) and (b) but is the </w:t>
            </w:r>
            <w:r w:rsidRPr="00A00FA5">
              <w:rPr>
                <w:rFonts w:ascii="ArialMT" w:hAnsi="ArialMT" w:cs="ArialMT"/>
                <w:sz w:val="18"/>
                <w:szCs w:val="18"/>
                <w:lang w:val="en-US"/>
              </w:rPr>
              <w:lastRenderedPageBreak/>
              <w:t>holder of an</w:t>
            </w:r>
            <w:r>
              <w:rPr>
                <w:rFonts w:ascii="ArialMT" w:hAnsi="ArialMT" w:cs="ArialMT"/>
                <w:sz w:val="18"/>
                <w:szCs w:val="18"/>
                <w:lang w:val="en-US"/>
              </w:rPr>
              <w:t xml:space="preserve"> </w:t>
            </w:r>
            <w:r w:rsidRPr="00A00FA5">
              <w:rPr>
                <w:rFonts w:ascii="ArialMT" w:hAnsi="ArialMT" w:cs="ArialMT"/>
                <w:sz w:val="18"/>
                <w:szCs w:val="18"/>
                <w:lang w:val="en-US"/>
              </w:rPr>
              <w:t>admission requirement established by the board of governors for a specific</w:t>
            </w:r>
            <w:r>
              <w:rPr>
                <w:rFonts w:ascii="ArialMT" w:hAnsi="ArialMT" w:cs="ArialMT"/>
                <w:sz w:val="18"/>
                <w:szCs w:val="18"/>
                <w:lang w:val="en-US"/>
              </w:rPr>
              <w:t xml:space="preserve"> </w:t>
            </w:r>
            <w:r w:rsidRPr="00A00FA5">
              <w:rPr>
                <w:rFonts w:ascii="ArialMT" w:hAnsi="ArialMT" w:cs="ArialMT"/>
                <w:sz w:val="18"/>
                <w:szCs w:val="18"/>
                <w:lang w:val="en-US"/>
              </w:rPr>
              <w:t>program of instruction.”</w:t>
            </w:r>
          </w:p>
        </w:tc>
        <w:tc>
          <w:tcPr>
            <w:tcW w:w="1418" w:type="dxa"/>
            <w:tcMar>
              <w:top w:w="85" w:type="dxa"/>
              <w:left w:w="85" w:type="dxa"/>
              <w:bottom w:w="85" w:type="dxa"/>
              <w:right w:w="85" w:type="dxa"/>
            </w:tcMar>
            <w:vAlign w:val="center"/>
          </w:tcPr>
          <w:p w:rsidR="007B6C7B" w:rsidRPr="00296813" w:rsidRDefault="00C429AF" w:rsidP="00F21BF8">
            <w:pPr>
              <w:jc w:val="center"/>
              <w:rPr>
                <w:rFonts w:ascii="ArialMT" w:hAnsi="ArialMT" w:cs="ArialMT"/>
                <w:color w:val="000000"/>
                <w:sz w:val="18"/>
                <w:szCs w:val="18"/>
                <w:lang w:val="en-US"/>
              </w:rPr>
            </w:pPr>
            <w:r w:rsidRPr="00F21BF8">
              <w:rPr>
                <w:rFonts w:ascii="ArialMT" w:hAnsi="ArialMT" w:cs="ArialMT"/>
                <w:color w:val="C00000"/>
                <w:sz w:val="28"/>
                <w:szCs w:val="18"/>
                <w:lang w:val="en-US"/>
              </w:rPr>
              <w:lastRenderedPageBreak/>
              <w:sym w:font="Wingdings" w:char="F0FC"/>
            </w:r>
          </w:p>
        </w:tc>
      </w:tr>
      <w:tr w:rsidR="00A12186" w:rsidTr="00F21BF8">
        <w:tc>
          <w:tcPr>
            <w:tcW w:w="2694" w:type="dxa"/>
            <w:tcMar>
              <w:top w:w="85" w:type="dxa"/>
              <w:left w:w="85" w:type="dxa"/>
              <w:bottom w:w="85" w:type="dxa"/>
              <w:right w:w="85" w:type="dxa"/>
            </w:tcMar>
          </w:tcPr>
          <w:p w:rsidR="00A12186" w:rsidRPr="00296813" w:rsidRDefault="00CF08BB" w:rsidP="00CF08BB">
            <w:pPr>
              <w:autoSpaceDE w:val="0"/>
              <w:autoSpaceDN w:val="0"/>
              <w:adjustRightInd w:val="0"/>
              <w:rPr>
                <w:rFonts w:ascii="ArialMT" w:hAnsi="ArialMT" w:cs="ArialMT"/>
                <w:sz w:val="18"/>
                <w:szCs w:val="18"/>
                <w:lang w:val="en-US"/>
              </w:rPr>
            </w:pPr>
            <w:r>
              <w:rPr>
                <w:rFonts w:ascii="Arial-BoldItalicMT" w:hAnsi="Arial-BoldItalicMT" w:cs="Arial-BoldItalicMT"/>
                <w:b/>
                <w:bCs/>
                <w:i/>
                <w:iCs/>
                <w:sz w:val="18"/>
                <w:szCs w:val="18"/>
                <w:lang w:val="en-US"/>
              </w:rPr>
              <w:lastRenderedPageBreak/>
              <w:t>4. Name of Credential</w:t>
            </w:r>
          </w:p>
        </w:tc>
        <w:tc>
          <w:tcPr>
            <w:tcW w:w="6378" w:type="dxa"/>
            <w:tcMar>
              <w:top w:w="85" w:type="dxa"/>
              <w:left w:w="85" w:type="dxa"/>
              <w:bottom w:w="85" w:type="dxa"/>
              <w:right w:w="85" w:type="dxa"/>
            </w:tcMar>
          </w:tcPr>
          <w:p w:rsidR="00A12186" w:rsidRPr="00296813" w:rsidRDefault="00CF08BB">
            <w:pPr>
              <w:rPr>
                <w:rFonts w:ascii="ArialMT" w:hAnsi="ArialMT" w:cs="ArialMT"/>
                <w:sz w:val="18"/>
                <w:szCs w:val="18"/>
                <w:lang w:val="en-US"/>
              </w:rPr>
            </w:pPr>
            <w:r>
              <w:rPr>
                <w:rFonts w:ascii="ArialMT" w:hAnsi="ArialMT" w:cs="ArialMT"/>
                <w:sz w:val="18"/>
                <w:szCs w:val="18"/>
                <w:lang w:val="en-US"/>
              </w:rPr>
              <w:t>Ontario College Diploma</w:t>
            </w:r>
          </w:p>
        </w:tc>
        <w:tc>
          <w:tcPr>
            <w:tcW w:w="1418" w:type="dxa"/>
            <w:tcMar>
              <w:top w:w="85" w:type="dxa"/>
              <w:left w:w="85" w:type="dxa"/>
              <w:bottom w:w="85" w:type="dxa"/>
              <w:right w:w="85" w:type="dxa"/>
            </w:tcMar>
            <w:vAlign w:val="center"/>
          </w:tcPr>
          <w:p w:rsidR="00A12186" w:rsidRPr="00296813" w:rsidRDefault="00C429AF" w:rsidP="00F21BF8">
            <w:pPr>
              <w:jc w:val="center"/>
              <w:rPr>
                <w:rFonts w:ascii="ArialMT" w:hAnsi="ArialMT" w:cs="ArialMT"/>
                <w:color w:val="000000"/>
                <w:sz w:val="18"/>
                <w:szCs w:val="18"/>
                <w:lang w:val="en-US"/>
              </w:rPr>
            </w:pPr>
            <w:r w:rsidRPr="00F21BF8">
              <w:rPr>
                <w:rFonts w:ascii="ArialMT" w:hAnsi="ArialMT" w:cs="ArialMT"/>
                <w:color w:val="C00000"/>
                <w:sz w:val="28"/>
                <w:szCs w:val="18"/>
                <w:lang w:val="en-US"/>
              </w:rPr>
              <w:sym w:font="Wingdings" w:char="F0FC"/>
            </w:r>
          </w:p>
        </w:tc>
      </w:tr>
    </w:tbl>
    <w:p w:rsidR="002C515E" w:rsidRDefault="002C515E"/>
    <w:sectPr w:rsidR="002C515E" w:rsidSect="00CF08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BoldItalic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12F83"/>
    <w:multiLevelType w:val="hybridMultilevel"/>
    <w:tmpl w:val="AA786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65105D"/>
    <w:rsid w:val="000305E6"/>
    <w:rsid w:val="00072123"/>
    <w:rsid w:val="00161BB7"/>
    <w:rsid w:val="00217A48"/>
    <w:rsid w:val="00235A98"/>
    <w:rsid w:val="00272E85"/>
    <w:rsid w:val="00296813"/>
    <w:rsid w:val="002C515E"/>
    <w:rsid w:val="003F42F9"/>
    <w:rsid w:val="00457090"/>
    <w:rsid w:val="004F0720"/>
    <w:rsid w:val="00605D12"/>
    <w:rsid w:val="0065105D"/>
    <w:rsid w:val="007529A8"/>
    <w:rsid w:val="007B6C7B"/>
    <w:rsid w:val="00873019"/>
    <w:rsid w:val="00A00FA5"/>
    <w:rsid w:val="00A12186"/>
    <w:rsid w:val="00C429AF"/>
    <w:rsid w:val="00C6400E"/>
    <w:rsid w:val="00CF08BB"/>
    <w:rsid w:val="00DB34BB"/>
    <w:rsid w:val="00DC6CCF"/>
    <w:rsid w:val="00DF7261"/>
    <w:rsid w:val="00F2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5E"/>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0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catharine.ozols</dc:creator>
  <cp:keywords/>
  <dc:description/>
  <cp:lastModifiedBy>Andreea</cp:lastModifiedBy>
  <cp:revision>2</cp:revision>
  <dcterms:created xsi:type="dcterms:W3CDTF">2014-03-22T20:34:00Z</dcterms:created>
  <dcterms:modified xsi:type="dcterms:W3CDTF">2014-03-22T20:34:00Z</dcterms:modified>
</cp:coreProperties>
</file>